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bookmarkStart w:id="0" w:name="_GoBack"/>
          <w:bookmarkEnd w:id="0"/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pt" o:ole="" fillcolor="window">
                  <v:imagedata r:id="rId6" o:title=""/>
                </v:shape>
                <o:OLEObject Type="Embed" ProgID="PBrush" ShapeID="_x0000_i1025" DrawAspect="Content" ObjectID="_1444979610" r:id="rId7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74388CE2" w:rsidR="005E08A3" w:rsidRPr="00C87B0E" w:rsidRDefault="000220A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</w:t>
            </w:r>
            <w:r w:rsidR="00A47FA6">
              <w:rPr>
                <w:noProof/>
                <w:sz w:val="22"/>
                <w:szCs w:val="22"/>
              </w:rPr>
              <w:t>003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2523C07B" w:rsidR="005E08A3" w:rsidRPr="00C87B0E" w:rsidRDefault="00D37C34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Percepção Musical 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2FBC1C5" w:rsidR="005E08A3" w:rsidRPr="00C87B0E" w:rsidRDefault="00D37C34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56B9E6E2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34DB57D9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5DC60150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102D3FF8" w:rsidR="005E08A3" w:rsidRPr="00C87B0E" w:rsidRDefault="00D37C34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3404EB65" w14:textId="0DE163E1" w:rsidR="00D37C34" w:rsidRPr="00D37C34" w:rsidRDefault="00D37C34" w:rsidP="00D37C34">
      <w:r w:rsidRPr="00D37C34">
        <w:t>Treinamento com a finalidade do desenvolvimento da capacidade de reconhecer auditivamente melodias, intervalos, harmonias, e figurações rítmicas, traduzindo-os para a notação musical, de realizar solfejos e leituras à primeira vista, e também de identificar timbres de instrumentos diversos.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34CD6ACE" w14:textId="77777777" w:rsidR="00D37C34" w:rsidRPr="00822203" w:rsidRDefault="00D37C34" w:rsidP="00D37C34">
      <w:pPr>
        <w:jc w:val="both"/>
      </w:pPr>
      <w:r w:rsidRPr="00822203">
        <w:t>Desenvolver a capacidade de reconhecer auditivamente melodias, intervalos, harmonias e figurações rítmicas, traduzindo-os para a notação musical, e de realizar solfejos e leituras à primeira vista.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2170883C" w14:textId="77777777" w:rsidR="00D37C34" w:rsidRDefault="00D37C34" w:rsidP="00D37C34">
      <w:pPr>
        <w:jc w:val="both"/>
      </w:pPr>
      <w:r w:rsidRPr="00822203">
        <w:t xml:space="preserve">Intervalos </w:t>
      </w:r>
    </w:p>
    <w:p w14:paraId="75272DF3" w14:textId="77777777" w:rsidR="00D37C34" w:rsidRDefault="00D37C34" w:rsidP="00D37C34">
      <w:pPr>
        <w:jc w:val="both"/>
      </w:pPr>
      <w:r w:rsidRPr="00822203">
        <w:t>Tríades</w:t>
      </w:r>
      <w:r>
        <w:t xml:space="preserve"> </w:t>
      </w:r>
    </w:p>
    <w:p w14:paraId="7B1AC068" w14:textId="77777777" w:rsidR="00D37C34" w:rsidRPr="00822203" w:rsidRDefault="00D37C34" w:rsidP="00D37C34">
      <w:pPr>
        <w:jc w:val="both"/>
      </w:pPr>
      <w:r w:rsidRPr="00822203">
        <w:t>Encadeamentos Harmônicos</w:t>
      </w:r>
      <w:r>
        <w:t xml:space="preserve"> (I – IV – I e I – V – I)</w:t>
      </w:r>
    </w:p>
    <w:p w14:paraId="4C543CCF" w14:textId="77777777" w:rsidR="00D37C34" w:rsidRPr="00822203" w:rsidRDefault="00D37C34" w:rsidP="00D37C34">
      <w:pPr>
        <w:jc w:val="both"/>
      </w:pPr>
      <w:r w:rsidRPr="00822203">
        <w:t>Ritmo: subdivisões da semínima até qu</w:t>
      </w:r>
      <w:r>
        <w:t>atro semicolcheias</w:t>
      </w:r>
    </w:p>
    <w:p w14:paraId="56ADA1BF" w14:textId="77777777" w:rsidR="00D37C34" w:rsidRPr="00822203" w:rsidRDefault="00D37C34" w:rsidP="00D37C34">
      <w:pPr>
        <w:jc w:val="both"/>
      </w:pPr>
      <w:r w:rsidRPr="00822203">
        <w:t xml:space="preserve">Solfejos rítmicos </w:t>
      </w:r>
    </w:p>
    <w:p w14:paraId="5E230057" w14:textId="77777777" w:rsidR="00D37C34" w:rsidRPr="00822203" w:rsidRDefault="00D37C34" w:rsidP="00D37C34">
      <w:pPr>
        <w:jc w:val="both"/>
      </w:pPr>
      <w:r w:rsidRPr="00822203">
        <w:t>Solfe</w:t>
      </w:r>
      <w:r>
        <w:t>jos melódicos nas claves de sol e</w:t>
      </w:r>
      <w:r w:rsidRPr="00822203">
        <w:t xml:space="preserve"> fá </w:t>
      </w:r>
    </w:p>
    <w:p w14:paraId="7FD0EF48" w14:textId="77777777" w:rsidR="00D37C34" w:rsidRPr="00822203" w:rsidRDefault="00D37C34" w:rsidP="00D37C34">
      <w:pPr>
        <w:jc w:val="both"/>
      </w:pPr>
      <w:r w:rsidRPr="00822203">
        <w:t>Ditados:</w:t>
      </w:r>
    </w:p>
    <w:p w14:paraId="0D7889A8" w14:textId="77777777" w:rsidR="00D37C34" w:rsidRDefault="00D37C34" w:rsidP="00D37C34">
      <w:pPr>
        <w:pStyle w:val="ListParagraph"/>
        <w:numPr>
          <w:ilvl w:val="0"/>
          <w:numId w:val="2"/>
        </w:numPr>
        <w:jc w:val="both"/>
      </w:pPr>
      <w:r w:rsidRPr="002C61EE">
        <w:t>Melódicos</w:t>
      </w:r>
    </w:p>
    <w:p w14:paraId="6445A61B" w14:textId="77777777" w:rsidR="00D37C34" w:rsidRPr="002C61EE" w:rsidRDefault="00D37C34" w:rsidP="00D37C34">
      <w:pPr>
        <w:pStyle w:val="ListParagraph"/>
        <w:numPr>
          <w:ilvl w:val="0"/>
          <w:numId w:val="2"/>
        </w:numPr>
        <w:jc w:val="both"/>
      </w:pPr>
      <w:r w:rsidRPr="002C61EE">
        <w:t>Rítmicos</w:t>
      </w:r>
    </w:p>
    <w:p w14:paraId="5F023CDD" w14:textId="77777777" w:rsidR="00D37C34" w:rsidRDefault="00D37C34" w:rsidP="00D37C34">
      <w:pPr>
        <w:pStyle w:val="ListParagraph"/>
        <w:numPr>
          <w:ilvl w:val="0"/>
          <w:numId w:val="2"/>
        </w:numPr>
        <w:jc w:val="both"/>
      </w:pPr>
      <w:r>
        <w:t>Tríades</w:t>
      </w:r>
    </w:p>
    <w:p w14:paraId="73E5C911" w14:textId="77777777" w:rsidR="00D37C34" w:rsidRPr="00822203" w:rsidRDefault="00D37C34" w:rsidP="00D37C34">
      <w:pPr>
        <w:pStyle w:val="ListParagraph"/>
        <w:numPr>
          <w:ilvl w:val="0"/>
          <w:numId w:val="2"/>
        </w:numPr>
        <w:jc w:val="both"/>
      </w:pPr>
      <w:r>
        <w:t>Encadeamentos harmônicos</w:t>
      </w:r>
    </w:p>
    <w:p w14:paraId="43505AB6" w14:textId="77777777" w:rsidR="00D37C34" w:rsidRPr="00D37C34" w:rsidRDefault="00D37C34" w:rsidP="00D37C34"/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lastRenderedPageBreak/>
        <w:t>Metodologia</w:t>
      </w:r>
    </w:p>
    <w:p w14:paraId="0977CE79" w14:textId="77777777" w:rsidR="00D37C34" w:rsidRPr="00822203" w:rsidRDefault="00D37C34" w:rsidP="00D37C34">
      <w:r w:rsidRPr="00822203">
        <w:t xml:space="preserve">Realização de solfejos e ditados </w:t>
      </w:r>
      <w:r>
        <w:t>diversos</w:t>
      </w:r>
      <w:r w:rsidRPr="00822203">
        <w:t xml:space="preserve"> </w:t>
      </w:r>
      <w:r>
        <w:t xml:space="preserve">em classe e na forma de exercícios para casa, </w:t>
      </w:r>
      <w:r w:rsidRPr="00822203">
        <w:t>a fim de desenvolver a capacidade de perceber os vários aspectos do universo sonoro musical.</w:t>
      </w:r>
    </w:p>
    <w:p w14:paraId="063A666B" w14:textId="77777777" w:rsidR="00D37C34" w:rsidRPr="00D37C34" w:rsidRDefault="00D37C34" w:rsidP="00D37C34"/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2613647B" w14:textId="5F9ECD36" w:rsidR="00D37C34" w:rsidRDefault="00D37C34" w:rsidP="00D37C34">
      <w:r>
        <w:t>Provas escritas, assiduidade e pontualidade</w:t>
      </w:r>
      <w:r w:rsidRPr="00D37C34">
        <w:t xml:space="preserve"> </w:t>
      </w:r>
      <w:r>
        <w:t>em classe e cumprimento de tarefas para casa.</w:t>
      </w:r>
    </w:p>
    <w:p w14:paraId="5438A2E4" w14:textId="77777777" w:rsidR="00D37C34" w:rsidRPr="00D37C34" w:rsidRDefault="00D37C34" w:rsidP="00D37C34"/>
    <w:p w14:paraId="64129FD4" w14:textId="6B13CD33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  <w:r w:rsidR="00FE227C">
        <w:rPr>
          <w:noProof/>
        </w:rPr>
        <w:t xml:space="preserve"> Básica</w:t>
      </w:r>
    </w:p>
    <w:p w14:paraId="67AD6AA2" w14:textId="77777777" w:rsidR="00D37C34" w:rsidRPr="00A47FA6" w:rsidRDefault="00D37C34" w:rsidP="00D37C34">
      <w:pPr>
        <w:ind w:left="567" w:hanging="567"/>
        <w:jc w:val="both"/>
      </w:pPr>
      <w:r w:rsidRPr="00A47FA6">
        <w:t xml:space="preserve">Bona, Pascoal. </w:t>
      </w:r>
      <w:r w:rsidRPr="00A47FA6">
        <w:rPr>
          <w:i/>
        </w:rPr>
        <w:t>Método Completo para Divisão</w:t>
      </w:r>
      <w:r w:rsidRPr="00A47FA6">
        <w:t xml:space="preserve">. São Paulo e Rio de Janeiro: Irmãos </w:t>
      </w:r>
      <w:proofErr w:type="spellStart"/>
      <w:r w:rsidRPr="00A47FA6">
        <w:t>Vitale</w:t>
      </w:r>
      <w:proofErr w:type="spellEnd"/>
      <w:r w:rsidRPr="00A47FA6">
        <w:t>.</w:t>
      </w:r>
    </w:p>
    <w:p w14:paraId="6AE48162" w14:textId="70368871" w:rsidR="00FE227C" w:rsidRPr="00C87B0E" w:rsidRDefault="00FE227C" w:rsidP="00FE227C">
      <w:pPr>
        <w:pStyle w:val="Heading1"/>
        <w:rPr>
          <w:noProof/>
        </w:rPr>
      </w:pPr>
      <w:r w:rsidRPr="00C87B0E">
        <w:rPr>
          <w:noProof/>
        </w:rPr>
        <w:t>Bibliografia</w:t>
      </w:r>
      <w:r>
        <w:rPr>
          <w:noProof/>
        </w:rPr>
        <w:t xml:space="preserve"> Complementar</w:t>
      </w:r>
    </w:p>
    <w:p w14:paraId="02D91F67" w14:textId="77777777" w:rsidR="00FE227C" w:rsidRPr="00A47FA6" w:rsidRDefault="00FE227C" w:rsidP="00FE227C">
      <w:pPr>
        <w:ind w:left="567" w:hanging="567"/>
        <w:jc w:val="both"/>
      </w:pPr>
      <w:proofErr w:type="spellStart"/>
      <w:r w:rsidRPr="00A47FA6">
        <w:t>Gramani</w:t>
      </w:r>
      <w:proofErr w:type="spellEnd"/>
      <w:r w:rsidRPr="00A47FA6">
        <w:t xml:space="preserve">, José Eduardo. Rítmica. </w:t>
      </w:r>
      <w:proofErr w:type="spellStart"/>
      <w:r w:rsidRPr="00A47FA6">
        <w:t>Sâo</w:t>
      </w:r>
      <w:proofErr w:type="spellEnd"/>
      <w:r w:rsidRPr="00A47FA6">
        <w:t xml:space="preserve"> Paulo: Perspectiva, 1988</w:t>
      </w:r>
    </w:p>
    <w:p w14:paraId="5E9662AC" w14:textId="77777777" w:rsidR="00FE227C" w:rsidRPr="000220A9" w:rsidRDefault="00FE227C" w:rsidP="00FE227C">
      <w:pPr>
        <w:ind w:left="567" w:hanging="567"/>
        <w:jc w:val="both"/>
        <w:rPr>
          <w:lang w:val="en-US"/>
        </w:rPr>
      </w:pPr>
      <w:proofErr w:type="spellStart"/>
      <w:r w:rsidRPr="00A47FA6">
        <w:t>Hindemith</w:t>
      </w:r>
      <w:proofErr w:type="spellEnd"/>
      <w:r w:rsidRPr="00A47FA6">
        <w:t xml:space="preserve">, Paul. </w:t>
      </w:r>
      <w:r w:rsidRPr="00A47FA6">
        <w:rPr>
          <w:i/>
        </w:rPr>
        <w:t>Treinamento Elementar para Músicos.</w:t>
      </w:r>
      <w:r w:rsidRPr="00A47FA6">
        <w:t xml:space="preserve"> 4</w:t>
      </w:r>
      <w:r w:rsidRPr="00A47FA6">
        <w:rPr>
          <w:vertAlign w:val="superscript"/>
        </w:rPr>
        <w:t>a</w:t>
      </w:r>
      <w:r w:rsidRPr="00A47FA6">
        <w:t xml:space="preserve"> ed. Tradução de Camargo Guarnieri. </w:t>
      </w:r>
      <w:r w:rsidRPr="000220A9">
        <w:rPr>
          <w:lang w:val="en-US"/>
        </w:rPr>
        <w:t xml:space="preserve">São Paulo: </w:t>
      </w:r>
      <w:proofErr w:type="spellStart"/>
      <w:r w:rsidRPr="000220A9">
        <w:rPr>
          <w:lang w:val="en-US"/>
        </w:rPr>
        <w:t>Ricordi</w:t>
      </w:r>
      <w:proofErr w:type="spellEnd"/>
      <w:r w:rsidRPr="000220A9">
        <w:rPr>
          <w:lang w:val="en-US"/>
        </w:rPr>
        <w:t xml:space="preserve"> </w:t>
      </w:r>
      <w:proofErr w:type="spellStart"/>
      <w:r w:rsidRPr="000220A9">
        <w:rPr>
          <w:lang w:val="en-US"/>
        </w:rPr>
        <w:t>Brasileira</w:t>
      </w:r>
      <w:proofErr w:type="spellEnd"/>
      <w:r w:rsidRPr="000220A9">
        <w:rPr>
          <w:lang w:val="en-US"/>
        </w:rPr>
        <w:t>, 1988.</w:t>
      </w:r>
    </w:p>
    <w:p w14:paraId="1C2BEC62" w14:textId="77777777" w:rsidR="00FE227C" w:rsidRPr="00A47FA6" w:rsidRDefault="00FE227C" w:rsidP="00FE227C">
      <w:pPr>
        <w:ind w:left="567" w:hanging="567"/>
        <w:jc w:val="both"/>
        <w:rPr>
          <w:spacing w:val="-20"/>
        </w:rPr>
      </w:pPr>
      <w:proofErr w:type="spellStart"/>
      <w:r w:rsidRPr="00A47FA6">
        <w:t>Pozzoli</w:t>
      </w:r>
      <w:proofErr w:type="spellEnd"/>
      <w:r w:rsidRPr="00A47FA6">
        <w:t xml:space="preserve">, Heitor. </w:t>
      </w:r>
      <w:r w:rsidRPr="00A47FA6">
        <w:rPr>
          <w:i/>
          <w:spacing w:val="-20"/>
        </w:rPr>
        <w:t>Guia Teórico e Prático: para o ensino do ditado musical</w:t>
      </w:r>
      <w:r w:rsidRPr="00A47FA6">
        <w:rPr>
          <w:spacing w:val="-20"/>
        </w:rPr>
        <w:t xml:space="preserve">. </w:t>
      </w:r>
      <w:r w:rsidRPr="00A47FA6">
        <w:t xml:space="preserve">São Paulo: </w:t>
      </w:r>
      <w:proofErr w:type="spellStart"/>
      <w:r w:rsidRPr="00A47FA6">
        <w:t>Ricordi</w:t>
      </w:r>
      <w:proofErr w:type="spellEnd"/>
      <w:r w:rsidRPr="00A47FA6">
        <w:t xml:space="preserve"> Brasileira, 1983</w:t>
      </w:r>
      <w:r w:rsidRPr="00A47FA6">
        <w:rPr>
          <w:spacing w:val="-20"/>
        </w:rPr>
        <w:t>.</w:t>
      </w: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Pr="00C87B0E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84"/>
      </w:tblGrid>
      <w:tr w:rsidR="000220A9" w:rsidRPr="00C87B0E" w14:paraId="6E13D06C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0F66994D" w14:textId="77777777" w:rsidR="000220A9" w:rsidRPr="00C87B0E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</w:tr>
      <w:tr w:rsidR="000220A9" w:rsidRPr="00C87B0E" w14:paraId="65A2FA90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092FBAF2" w14:textId="77777777" w:rsidR="000220A9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7238533" w14:textId="77777777" w:rsidR="000220A9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78B99A3D" w14:textId="77777777" w:rsidR="000220A9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35F1684" w14:textId="77777777" w:rsidR="000220A9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71EF7F45" w14:textId="77777777" w:rsidR="000220A9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BF2788D" w14:textId="77777777" w:rsidR="000220A9" w:rsidRPr="00C87B0E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70075DB6" w14:textId="77777777" w:rsidR="000220A9" w:rsidRPr="00C87B0E" w:rsidRDefault="000220A9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15E590D"/>
    <w:multiLevelType w:val="hybridMultilevel"/>
    <w:tmpl w:val="35DE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center"/>
        <w:pPr>
          <w:ind w:left="283" w:hanging="283"/>
        </w:pPr>
        <w:rPr>
          <w:rFonts w:ascii="Playbill" w:hAnsi="Playbil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220A9"/>
    <w:rsid w:val="0007638E"/>
    <w:rsid w:val="00110739"/>
    <w:rsid w:val="001161E6"/>
    <w:rsid w:val="00137542"/>
    <w:rsid w:val="001D25D3"/>
    <w:rsid w:val="00200745"/>
    <w:rsid w:val="0022151D"/>
    <w:rsid w:val="002418E7"/>
    <w:rsid w:val="002448BD"/>
    <w:rsid w:val="00265B50"/>
    <w:rsid w:val="00371C47"/>
    <w:rsid w:val="003813B6"/>
    <w:rsid w:val="00387D30"/>
    <w:rsid w:val="00394B63"/>
    <w:rsid w:val="003A5D54"/>
    <w:rsid w:val="00407384"/>
    <w:rsid w:val="00463FC5"/>
    <w:rsid w:val="00594172"/>
    <w:rsid w:val="00596EE8"/>
    <w:rsid w:val="005E08A3"/>
    <w:rsid w:val="006064D1"/>
    <w:rsid w:val="0062139B"/>
    <w:rsid w:val="006217CA"/>
    <w:rsid w:val="00696545"/>
    <w:rsid w:val="00737451"/>
    <w:rsid w:val="007707BA"/>
    <w:rsid w:val="008C7196"/>
    <w:rsid w:val="008F13ED"/>
    <w:rsid w:val="009102E5"/>
    <w:rsid w:val="00A47FA6"/>
    <w:rsid w:val="00A567CC"/>
    <w:rsid w:val="00A64CFE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D37C34"/>
    <w:rsid w:val="00D55F93"/>
    <w:rsid w:val="00D905F6"/>
    <w:rsid w:val="00DB4688"/>
    <w:rsid w:val="00DC10A5"/>
    <w:rsid w:val="00E55ED7"/>
    <w:rsid w:val="00F26494"/>
    <w:rsid w:val="00F9255C"/>
    <w:rsid w:val="00FC332E"/>
    <w:rsid w:val="00FE227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4A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7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C"/>
    <w:rPr>
      <w:rFonts w:ascii="Segoe UI" w:hAnsi="Segoe UI" w:cs="Segoe U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7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C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Alexandre Ávila</cp:lastModifiedBy>
  <cp:revision>2</cp:revision>
  <cp:lastPrinted>2017-11-01T10:37:00Z</cp:lastPrinted>
  <dcterms:created xsi:type="dcterms:W3CDTF">2017-11-02T13:27:00Z</dcterms:created>
  <dcterms:modified xsi:type="dcterms:W3CDTF">2017-11-02T13:27:00Z</dcterms:modified>
</cp:coreProperties>
</file>