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8"/>
        <w:gridCol w:w="190"/>
        <w:gridCol w:w="4898"/>
        <w:gridCol w:w="190"/>
        <w:gridCol w:w="3585"/>
      </w:tblGrid>
      <w:tr w:rsidR="003A618B" w14:paraId="7E1AA6C6" w14:textId="77777777">
        <w:trPr>
          <w:trHeight w:val="106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4F08" w14:textId="77777777" w:rsidR="003A618B" w:rsidRDefault="00C82710">
            <w:pPr>
              <w:pStyle w:val="Body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913BD3" wp14:editId="74B0BC55">
                  <wp:extent cx="498475" cy="54864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9EC7" w14:textId="77777777" w:rsidR="003A618B" w:rsidRDefault="003A618B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70CF6" w14:textId="77777777" w:rsidR="003A618B" w:rsidRDefault="00C82710">
            <w:pPr>
              <w:pStyle w:val="Body"/>
              <w:spacing w:before="40"/>
              <w:rPr>
                <w:b/>
                <w:bCs/>
                <w:spacing w:val="50"/>
                <w:sz w:val="22"/>
                <w:szCs w:val="22"/>
              </w:rPr>
            </w:pPr>
            <w:r>
              <w:rPr>
                <w:b/>
                <w:bCs/>
                <w:spacing w:val="50"/>
                <w:sz w:val="22"/>
                <w:szCs w:val="22"/>
                <w:lang w:val="pt-PT"/>
              </w:rPr>
              <w:t>UNIVERSIDADE FEDERAL DA BAHIA</w:t>
            </w:r>
          </w:p>
          <w:p w14:paraId="7F391CF2" w14:textId="77777777" w:rsidR="003A618B" w:rsidRDefault="00C82710">
            <w:pPr>
              <w:pStyle w:val="Body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lang w:val="pt-PT"/>
              </w:rPr>
              <w:t xml:space="preserve">Escola de Música </w:t>
            </w:r>
          </w:p>
          <w:p w14:paraId="4D185930" w14:textId="77777777" w:rsidR="003A618B" w:rsidRDefault="00C82710">
            <w:pPr>
              <w:pStyle w:val="Body"/>
              <w:jc w:val="center"/>
            </w:pPr>
            <w:r>
              <w:rPr>
                <w:b/>
                <w:bCs/>
                <w:spacing w:val="20"/>
                <w:sz w:val="22"/>
                <w:szCs w:val="22"/>
                <w:lang w:val="pt-PT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6838" w14:textId="77777777" w:rsidR="003A618B" w:rsidRDefault="003A618B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07C1" w14:textId="77777777" w:rsidR="003A618B" w:rsidRDefault="003A618B">
            <w:pPr>
              <w:pStyle w:val="Body"/>
              <w:rPr>
                <w:b/>
                <w:bCs/>
                <w:sz w:val="12"/>
                <w:szCs w:val="12"/>
                <w:lang w:val="pt-PT"/>
              </w:rPr>
            </w:pPr>
          </w:p>
          <w:p w14:paraId="3D076808" w14:textId="77777777" w:rsidR="003A618B" w:rsidRDefault="00C82710">
            <w:pPr>
              <w:pStyle w:val="Body"/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  <w:lang w:val="pt-PT"/>
              </w:rPr>
              <w:t>PROGRAMA DE COMPONENTE</w:t>
            </w:r>
          </w:p>
          <w:p w14:paraId="602ECA7A" w14:textId="77777777" w:rsidR="003A618B" w:rsidRDefault="00C82710">
            <w:pPr>
              <w:pStyle w:val="Body"/>
              <w:jc w:val="center"/>
            </w:pPr>
            <w:r>
              <w:rPr>
                <w:b/>
                <w:bCs/>
                <w:spacing w:val="20"/>
                <w:sz w:val="26"/>
                <w:szCs w:val="26"/>
                <w:lang w:val="pt-PT"/>
              </w:rPr>
              <w:t>CURRICULAR</w:t>
            </w:r>
          </w:p>
        </w:tc>
      </w:tr>
    </w:tbl>
    <w:p w14:paraId="5F7CEED1" w14:textId="77777777" w:rsidR="003A618B" w:rsidRDefault="003A618B">
      <w:pPr>
        <w:pStyle w:val="Body"/>
        <w:widowControl w:val="0"/>
        <w:jc w:val="center"/>
      </w:pPr>
    </w:p>
    <w:p w14:paraId="56E2AF8D" w14:textId="77777777" w:rsidR="003A618B" w:rsidRDefault="003A618B">
      <w:pPr>
        <w:pStyle w:val="Body"/>
        <w:rPr>
          <w:sz w:val="20"/>
          <w:szCs w:val="20"/>
        </w:rPr>
      </w:pPr>
    </w:p>
    <w:tbl>
      <w:tblPr>
        <w:tblStyle w:val="TableNormal1"/>
        <w:tblW w:w="9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70"/>
        <w:gridCol w:w="190"/>
        <w:gridCol w:w="8214"/>
      </w:tblGrid>
      <w:tr w:rsidR="003A618B" w14:paraId="7C8B079B" w14:textId="77777777">
        <w:trPr>
          <w:trHeight w:val="21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9614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5FA6" w14:textId="77777777" w:rsidR="003A618B" w:rsidRDefault="003A618B"/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29BC" w14:textId="77777777" w:rsidR="003A618B" w:rsidRDefault="00C82710">
            <w:pPr>
              <w:pStyle w:val="Body"/>
              <w:spacing w:before="40"/>
            </w:pPr>
            <w:r>
              <w:rPr>
                <w:b/>
                <w:bCs/>
                <w:spacing w:val="20"/>
                <w:sz w:val="16"/>
                <w:szCs w:val="16"/>
                <w:lang w:val="pt-PT"/>
              </w:rPr>
              <w:t>NOME</w:t>
            </w:r>
          </w:p>
        </w:tc>
      </w:tr>
      <w:tr w:rsidR="003A618B" w14:paraId="388EA588" w14:textId="77777777">
        <w:trPr>
          <w:trHeight w:val="346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BE50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pt-PT"/>
              </w:rPr>
              <w:t>MUS</w:t>
            </w:r>
            <w:r w:rsidR="009856A8">
              <w:rPr>
                <w:sz w:val="22"/>
                <w:szCs w:val="22"/>
                <w:lang w:val="en-US"/>
              </w:rPr>
              <w:t>B12</w:t>
            </w: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2510C0" w14:textId="77777777" w:rsidR="003A618B" w:rsidRDefault="003A618B"/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822D" w14:textId="77777777" w:rsidR="003A618B" w:rsidRDefault="009856A8">
            <w:pPr>
              <w:pStyle w:val="Body"/>
              <w:spacing w:before="160" w:after="160"/>
            </w:pPr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Composição III</w:t>
            </w:r>
          </w:p>
        </w:tc>
      </w:tr>
    </w:tbl>
    <w:p w14:paraId="53711A30" w14:textId="77777777" w:rsidR="003A618B" w:rsidRDefault="003A618B">
      <w:pPr>
        <w:pStyle w:val="Body"/>
        <w:widowControl w:val="0"/>
        <w:jc w:val="center"/>
        <w:rPr>
          <w:sz w:val="20"/>
          <w:szCs w:val="20"/>
        </w:rPr>
      </w:pPr>
    </w:p>
    <w:p w14:paraId="35067DBA" w14:textId="77777777" w:rsidR="003A618B" w:rsidRDefault="003A618B">
      <w:pPr>
        <w:pStyle w:val="Body"/>
        <w:rPr>
          <w:sz w:val="16"/>
          <w:szCs w:val="16"/>
        </w:rPr>
      </w:pPr>
    </w:p>
    <w:tbl>
      <w:tblPr>
        <w:tblStyle w:val="TableNormal1"/>
        <w:tblW w:w="99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3A618B" w14:paraId="79AFD8DC" w14:textId="77777777">
        <w:trPr>
          <w:trHeight w:val="465"/>
          <w:jc w:val="center"/>
        </w:trPr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21DB0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CFF7" w14:textId="77777777" w:rsidR="003A618B" w:rsidRDefault="003A618B"/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C0735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D32E1" w14:textId="77777777" w:rsidR="003A618B" w:rsidRDefault="003A618B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A52D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751C" w14:textId="77777777" w:rsidR="003A618B" w:rsidRDefault="003A618B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F6AC4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ANO VIGENTE</w:t>
            </w: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  <w:tr w:rsidR="003A618B" w14:paraId="4696D9C7" w14:textId="77777777">
        <w:trPr>
          <w:trHeight w:val="2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F7345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607F0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P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B7547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FEA1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5E87" w14:textId="77777777" w:rsidR="003A618B" w:rsidRDefault="003A61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1411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CC4C3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55EF5" w14:textId="77777777" w:rsidR="003A618B" w:rsidRDefault="00C82710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A8FB" w14:textId="77777777" w:rsidR="003A618B" w:rsidRDefault="003A618B"/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78611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0EB2" w14:textId="77777777" w:rsidR="003A618B" w:rsidRDefault="003A618B"/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984E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2009.1</w:t>
            </w:r>
          </w:p>
        </w:tc>
      </w:tr>
      <w:tr w:rsidR="003A618B" w14:paraId="5C47289C" w14:textId="77777777">
        <w:trPr>
          <w:trHeight w:val="46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D8149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86C5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pt-PT"/>
              </w:rPr>
              <w:t>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DE5A" w14:textId="77777777" w:rsidR="003A618B" w:rsidRDefault="003A618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1F1AC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23B1" w14:textId="77777777" w:rsidR="003A618B" w:rsidRDefault="003A618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3B71" w14:textId="77777777" w:rsidR="003A618B" w:rsidRDefault="00C82710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pt-PT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4320" w14:textId="77777777" w:rsidR="003A618B" w:rsidRDefault="003A618B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241A" w14:textId="77777777" w:rsidR="003A618B" w:rsidRDefault="003A618B"/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BDCE7C" w14:textId="77777777" w:rsidR="003A618B" w:rsidRDefault="003A618B"/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7178" w14:textId="77777777" w:rsidR="003A618B" w:rsidRDefault="003A618B"/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B8DD56" w14:textId="77777777" w:rsidR="003A618B" w:rsidRDefault="003A618B"/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16CB" w14:textId="77777777" w:rsidR="003A618B" w:rsidRDefault="003A618B"/>
        </w:tc>
      </w:tr>
    </w:tbl>
    <w:p w14:paraId="30EDD1B9" w14:textId="77777777" w:rsidR="003A618B" w:rsidRDefault="003A618B">
      <w:pPr>
        <w:pStyle w:val="Body"/>
        <w:widowControl w:val="0"/>
        <w:jc w:val="center"/>
        <w:rPr>
          <w:sz w:val="16"/>
          <w:szCs w:val="16"/>
        </w:rPr>
      </w:pPr>
    </w:p>
    <w:p w14:paraId="2E937303" w14:textId="77777777" w:rsidR="003A618B" w:rsidRDefault="003A618B">
      <w:pPr>
        <w:pStyle w:val="Body"/>
        <w:rPr>
          <w:sz w:val="2"/>
          <w:szCs w:val="2"/>
        </w:rPr>
      </w:pPr>
    </w:p>
    <w:p w14:paraId="69AFF488" w14:textId="77777777" w:rsidR="003A618B" w:rsidRDefault="003A618B">
      <w:pPr>
        <w:pStyle w:val="Body"/>
        <w:rPr>
          <w:sz w:val="2"/>
          <w:szCs w:val="2"/>
        </w:rPr>
      </w:pPr>
    </w:p>
    <w:p w14:paraId="1E44F953" w14:textId="77777777" w:rsidR="003A618B" w:rsidRDefault="003A618B">
      <w:pPr>
        <w:pStyle w:val="Body"/>
        <w:rPr>
          <w:sz w:val="2"/>
          <w:szCs w:val="2"/>
        </w:rPr>
      </w:pPr>
    </w:p>
    <w:p w14:paraId="571D988D" w14:textId="77777777" w:rsidR="003A618B" w:rsidRDefault="003A618B">
      <w:pPr>
        <w:pStyle w:val="Body"/>
      </w:pPr>
    </w:p>
    <w:p w14:paraId="25724A4B" w14:textId="77777777" w:rsidR="003A618B" w:rsidRDefault="00C82710">
      <w:pPr>
        <w:pStyle w:val="Heading"/>
      </w:pPr>
      <w:r>
        <w:t>Ementa</w:t>
      </w:r>
    </w:p>
    <w:p w14:paraId="2C98D665" w14:textId="77777777" w:rsidR="009856A8" w:rsidRDefault="009856A8" w:rsidP="009856A8">
      <w:pPr>
        <w:jc w:val="both"/>
      </w:pPr>
      <w:r>
        <w:t>Estudo e prática de Técnicas Composicionais – manipulação e exploração de elementos musicais do século XX, politonalismo, pós-tonalismo, atonalismo, serialismo, aleatorismo e audição comentada de obras representativas do século XX, com ênfase em obras de pequenas dimensões.</w:t>
      </w:r>
    </w:p>
    <w:p w14:paraId="7E65AE8A" w14:textId="77777777" w:rsidR="003A618B" w:rsidRDefault="00C82710">
      <w:pPr>
        <w:pStyle w:val="Heading"/>
      </w:pPr>
      <w:r>
        <w:t>Objetivos</w:t>
      </w:r>
    </w:p>
    <w:p w14:paraId="1DE5D9C6" w14:textId="77777777" w:rsidR="00D168CD" w:rsidRDefault="00D168CD">
      <w:pPr>
        <w:pStyle w:val="Body"/>
        <w:rPr>
          <w:lang w:val="en-US"/>
        </w:rPr>
      </w:pPr>
      <w:r>
        <w:rPr>
          <w:lang w:val="en-US"/>
        </w:rPr>
        <w:t>Oferecer ao aluno conhecimentos relativos às dimensões verticais e horizontais da música, bem como estruturas textuais e temporais, de maneira analítica e crítica, aplicados à prática criativa composicional.</w:t>
      </w:r>
    </w:p>
    <w:p w14:paraId="15E03B4D" w14:textId="77777777" w:rsidR="003A618B" w:rsidRDefault="00C82710">
      <w:pPr>
        <w:pStyle w:val="Heading"/>
      </w:pPr>
      <w:r>
        <w:rPr>
          <w:lang w:val="it-IT"/>
        </w:rPr>
        <w:t>Conte</w:t>
      </w:r>
      <w:r>
        <w:t>údos</w:t>
      </w:r>
    </w:p>
    <w:p w14:paraId="564FBF8E" w14:textId="77777777" w:rsidR="009856A8" w:rsidRDefault="009856A8" w:rsidP="009856A8">
      <w:pPr>
        <w:jc w:val="both"/>
      </w:pPr>
    </w:p>
    <w:p w14:paraId="4C748878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Problemas de escrita convencional e notação contemporânea;</w:t>
      </w:r>
    </w:p>
    <w:p w14:paraId="2DA4544A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Escalas e modos na música contemporânea;</w:t>
      </w:r>
    </w:p>
    <w:p w14:paraId="1442558E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Textura e timbre na música contemporânea;</w:t>
      </w:r>
    </w:p>
    <w:p w14:paraId="4FD8E4AE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Dimensão vertical na música contemporânea;</w:t>
      </w:r>
    </w:p>
    <w:p w14:paraId="4EC9B49C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Dimensão horizontal na música contemporânea;</w:t>
      </w:r>
    </w:p>
    <w:p w14:paraId="2B22B6DD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Estruturas temporais na música do século XX ao presente;</w:t>
      </w:r>
    </w:p>
    <w:p w14:paraId="6DCE0F3A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Estudo e prática das estruturas de planos sonoros superpostos e interpostos;</w:t>
      </w:r>
    </w:p>
    <w:p w14:paraId="152B2733" w14:textId="77777777" w:rsidR="009856A8" w:rsidRDefault="009856A8" w:rsidP="009856A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Apresentação e discussão do trabalho criativo.</w:t>
      </w:r>
    </w:p>
    <w:p w14:paraId="338B7E35" w14:textId="77777777" w:rsidR="009856A8" w:rsidRDefault="009856A8" w:rsidP="009856A8">
      <w:pPr>
        <w:jc w:val="both"/>
      </w:pPr>
    </w:p>
    <w:p w14:paraId="09759751" w14:textId="77777777" w:rsidR="009856A8" w:rsidRDefault="009856A8">
      <w:pPr>
        <w:pStyle w:val="Heading"/>
      </w:pPr>
    </w:p>
    <w:p w14:paraId="7F3AACA7" w14:textId="77777777" w:rsidR="003A618B" w:rsidRDefault="00C82710">
      <w:pPr>
        <w:pStyle w:val="Heading"/>
      </w:pPr>
      <w:r>
        <w:t>Metodologia</w:t>
      </w:r>
    </w:p>
    <w:p w14:paraId="08FE85A5" w14:textId="77777777" w:rsidR="003A618B" w:rsidRDefault="00C82710">
      <w:pPr>
        <w:pStyle w:val="Body"/>
      </w:pPr>
      <w:r>
        <w:rPr>
          <w:lang w:val="pt-PT"/>
        </w:rPr>
        <w:t>Aulas te</w:t>
      </w:r>
      <w:r>
        <w:rPr>
          <w:lang w:val="es-ES_tradnl"/>
        </w:rPr>
        <w:t>ó</w:t>
      </w:r>
      <w:r>
        <w:rPr>
          <w:lang w:val="it-IT"/>
        </w:rPr>
        <w:t>rico-pr</w:t>
      </w:r>
      <w:r>
        <w:t>á</w:t>
      </w:r>
      <w:r>
        <w:rPr>
          <w:lang w:val="pt-PT"/>
        </w:rPr>
        <w:t>ticas</w:t>
      </w:r>
      <w:r>
        <w:rPr>
          <w:lang w:val="en-US"/>
        </w:rPr>
        <w:t>, trabalhos de composição e análise musical</w:t>
      </w:r>
    </w:p>
    <w:p w14:paraId="2759D1E6" w14:textId="77777777" w:rsidR="003A618B" w:rsidRDefault="00C82710">
      <w:pPr>
        <w:pStyle w:val="Heading"/>
      </w:pPr>
      <w:r>
        <w:t>Avaliação</w:t>
      </w:r>
    </w:p>
    <w:p w14:paraId="3BD63EEB" w14:textId="77777777" w:rsidR="003A618B" w:rsidRDefault="00C82710">
      <w:pPr>
        <w:pStyle w:val="Body"/>
      </w:pPr>
      <w:r>
        <w:rPr>
          <w:lang w:val="en-US"/>
        </w:rPr>
        <w:t>Provas e/ou trabalhos práticos de composição musical</w:t>
      </w:r>
      <w:r w:rsidR="00E35AB7">
        <w:rPr>
          <w:lang w:val="en-US"/>
        </w:rPr>
        <w:t xml:space="preserve">. </w:t>
      </w:r>
      <w:r w:rsidR="00E35AB7">
        <w:rPr>
          <w:rFonts w:ascii="Verdana" w:hAnsi="Verdana"/>
          <w:sz w:val="19"/>
          <w:szCs w:val="19"/>
        </w:rPr>
        <w:t>Composições para formações camerísticas até orquestras de pequenas dimensões.</w:t>
      </w:r>
    </w:p>
    <w:p w14:paraId="25389976" w14:textId="77777777" w:rsidR="003A618B" w:rsidRDefault="00C82710">
      <w:pPr>
        <w:pStyle w:val="Heading"/>
      </w:pPr>
      <w:r>
        <w:t>Bibliografia</w:t>
      </w:r>
    </w:p>
    <w:p w14:paraId="0764006A" w14:textId="77777777" w:rsidR="003A618B" w:rsidRDefault="00C82710">
      <w:pPr>
        <w:pStyle w:val="Body"/>
        <w:ind w:left="567" w:hanging="567"/>
        <w:jc w:val="both"/>
      </w:pPr>
      <w:r>
        <w:rPr>
          <w:lang w:val="en-US"/>
        </w:rPr>
        <w:t>Brindle, Reginald Smith. Musical Composition. New York: Oxford University Press, 1986.</w:t>
      </w:r>
    </w:p>
    <w:p w14:paraId="22708CFF" w14:textId="77777777" w:rsidR="003A618B" w:rsidRDefault="00C82710">
      <w:pPr>
        <w:pStyle w:val="Body"/>
        <w:ind w:left="567" w:hanging="567"/>
        <w:jc w:val="both"/>
        <w:rPr>
          <w:lang w:val="en-US"/>
        </w:rPr>
      </w:pPr>
      <w:r>
        <w:rPr>
          <w:lang w:val="en-US"/>
        </w:rPr>
        <w:t>Cope, David. Techniques of the Contemporary Composer. New York: Schirmer Books, 1997.</w:t>
      </w:r>
    </w:p>
    <w:p w14:paraId="52DDC5BD" w14:textId="77777777" w:rsidR="009856A8" w:rsidRPr="009856A8" w:rsidRDefault="009856A8" w:rsidP="009856A8">
      <w:pPr>
        <w:ind w:left="650" w:hanging="650"/>
        <w:jc w:val="both"/>
        <w:rPr>
          <w:rFonts w:ascii="Calibri" w:hAnsi="Calibri"/>
        </w:rPr>
      </w:pPr>
      <w:r w:rsidRPr="009856A8">
        <w:rPr>
          <w:rFonts w:ascii="Calibri" w:hAnsi="Calibri"/>
        </w:rPr>
        <w:t xml:space="preserve">Gomes, Wellington. </w:t>
      </w:r>
      <w:r w:rsidRPr="009856A8">
        <w:rPr>
          <w:rFonts w:ascii="Calibri" w:hAnsi="Calibri"/>
          <w:i/>
        </w:rPr>
        <w:t xml:space="preserve">Grupo de Compositores da Bahia: Estratégias Orquestrais. </w:t>
      </w:r>
      <w:r w:rsidRPr="009856A8">
        <w:rPr>
          <w:rFonts w:ascii="Calibri" w:hAnsi="Calibri"/>
        </w:rPr>
        <w:t>REÍZA 3. Salvador, BA: UFBA, 2002.</w:t>
      </w:r>
    </w:p>
    <w:p w14:paraId="20F7B8DB" w14:textId="77777777" w:rsidR="003A618B" w:rsidRDefault="00C82710">
      <w:pPr>
        <w:pStyle w:val="Body"/>
        <w:ind w:left="567" w:hanging="567"/>
        <w:jc w:val="both"/>
      </w:pPr>
      <w:r>
        <w:rPr>
          <w:lang w:val="en-US"/>
        </w:rPr>
        <w:t>Kostka, Stefan M. Materials and Techniques of Twentieth-Century Music. 3a.</w:t>
      </w:r>
      <w:r>
        <w:rPr>
          <w:lang w:val="it-IT"/>
        </w:rPr>
        <w:t xml:space="preserve"> ed. Prentice Hall</w:t>
      </w:r>
      <w:r>
        <w:rPr>
          <w:lang w:val="en-US"/>
        </w:rPr>
        <w:t>, 2006.</w:t>
      </w:r>
    </w:p>
    <w:p w14:paraId="5A7B7130" w14:textId="77777777" w:rsidR="005F0984" w:rsidRPr="005F0984" w:rsidRDefault="005F0984" w:rsidP="005F0984">
      <w:pPr>
        <w:pStyle w:val="FootnoteText"/>
        <w:ind w:left="650" w:hanging="650"/>
        <w:jc w:val="both"/>
        <w:rPr>
          <w:rFonts w:ascii="Calibri" w:hAnsi="Calibri"/>
          <w:sz w:val="24"/>
          <w:lang w:val="en-US"/>
        </w:rPr>
      </w:pPr>
      <w:r w:rsidRPr="005F0984">
        <w:rPr>
          <w:rFonts w:ascii="Calibri" w:hAnsi="Calibri"/>
          <w:sz w:val="24"/>
          <w:lang w:val="en-US"/>
        </w:rPr>
        <w:t xml:space="preserve">Krammer, Jonathan D. </w:t>
      </w:r>
      <w:r w:rsidRPr="005F0984">
        <w:rPr>
          <w:rFonts w:ascii="Calibri" w:hAnsi="Calibri"/>
          <w:i/>
          <w:sz w:val="24"/>
          <w:lang w:val="en-US"/>
        </w:rPr>
        <w:t>The Time of Music</w:t>
      </w:r>
      <w:r w:rsidRPr="005F0984">
        <w:rPr>
          <w:rFonts w:ascii="Calibri" w:hAnsi="Calibri"/>
          <w:sz w:val="24"/>
          <w:lang w:val="en-US"/>
        </w:rPr>
        <w:t>. New York: Schirmer Books, 1988.</w:t>
      </w:r>
    </w:p>
    <w:p w14:paraId="4CB23127" w14:textId="77777777" w:rsidR="003A618B" w:rsidRDefault="00C82710">
      <w:pPr>
        <w:pStyle w:val="Body"/>
        <w:ind w:left="567" w:hanging="567"/>
        <w:jc w:val="both"/>
      </w:pPr>
      <w:r>
        <w:rPr>
          <w:lang w:val="en-US"/>
        </w:rPr>
        <w:t>Lester, Joel. Analytic Approaches to Twentieth-Century Music. New York: Norton, 1989.</w:t>
      </w:r>
    </w:p>
    <w:p w14:paraId="6B148287" w14:textId="77777777" w:rsidR="003A618B" w:rsidRDefault="00C82710">
      <w:pPr>
        <w:pStyle w:val="Body"/>
        <w:ind w:left="567" w:hanging="567"/>
        <w:jc w:val="both"/>
      </w:pPr>
      <w:r>
        <w:rPr>
          <w:lang w:val="en-US"/>
        </w:rPr>
        <w:t>Perle, George. Serial Composition and Atonality. Berkeley and Los Angeles: University of California Press, 1962.</w:t>
      </w:r>
    </w:p>
    <w:p w14:paraId="0CE05B53" w14:textId="77777777" w:rsidR="003A618B" w:rsidRDefault="00C82710">
      <w:pPr>
        <w:pStyle w:val="Body"/>
        <w:ind w:left="567" w:hanging="567"/>
        <w:jc w:val="both"/>
      </w:pPr>
      <w:r>
        <w:rPr>
          <w:lang w:val="de-DE"/>
        </w:rPr>
        <w:t>Persichetti, Vincent. Twentieth Century Harmony. New York: Norton, 1961.</w:t>
      </w:r>
    </w:p>
    <w:p w14:paraId="161C3062" w14:textId="77777777" w:rsidR="003A618B" w:rsidRDefault="00C82710">
      <w:pPr>
        <w:pStyle w:val="Body"/>
        <w:ind w:left="567" w:hanging="567"/>
        <w:jc w:val="both"/>
      </w:pPr>
      <w:r>
        <w:rPr>
          <w:lang w:val="en-US"/>
        </w:rPr>
        <w:t>Straus, Joseph. Introduction to Post-Tonal Theory. Englewood Cliffs, NJ: Prentice-Hall, 1990.</w:t>
      </w:r>
    </w:p>
    <w:p w14:paraId="5278E00A" w14:textId="77777777" w:rsidR="005F0984" w:rsidRDefault="005F0984">
      <w:pPr>
        <w:pStyle w:val="Body"/>
        <w:ind w:left="567" w:hanging="567"/>
        <w:jc w:val="both"/>
      </w:pPr>
      <w:r w:rsidRPr="005F0984">
        <w:rPr>
          <w:i/>
          <w:lang w:val="en-US"/>
        </w:rPr>
        <w:t>The New Grove Dictionary of Music and Musicians</w:t>
      </w:r>
      <w:r w:rsidRPr="005F0984">
        <w:rPr>
          <w:lang w:val="en-US"/>
        </w:rPr>
        <w:t>. Ed. Stanley Sadie. 20 vols. London</w:t>
      </w:r>
      <w:r>
        <w:t>: Macmillan Publishers, 1980.</w:t>
      </w:r>
    </w:p>
    <w:p w14:paraId="0237C191" w14:textId="77777777" w:rsidR="005F0984" w:rsidRDefault="005F0984">
      <w:pPr>
        <w:pStyle w:val="Body"/>
        <w:ind w:left="567" w:hanging="567"/>
        <w:jc w:val="both"/>
        <w:rPr>
          <w:lang w:val="en-US"/>
        </w:rPr>
      </w:pPr>
      <w:r w:rsidRPr="005F0984">
        <w:rPr>
          <w:lang w:val="en-US"/>
        </w:rPr>
        <w:t xml:space="preserve">Simms, Bryan R. </w:t>
      </w:r>
      <w:r w:rsidRPr="005F0984">
        <w:rPr>
          <w:i/>
          <w:lang w:val="en-US"/>
        </w:rPr>
        <w:t>Music of Twentieth Century: An Anthology</w:t>
      </w:r>
      <w:r w:rsidRPr="005F0984">
        <w:rPr>
          <w:lang w:val="en-US"/>
        </w:rPr>
        <w:t>. New York: Schirmer Books, 1986.</w:t>
      </w:r>
    </w:p>
    <w:p w14:paraId="30099AAA" w14:textId="77777777" w:rsidR="005F0984" w:rsidRPr="005F0984" w:rsidRDefault="005F0984" w:rsidP="005F0984">
      <w:pPr>
        <w:pStyle w:val="Body"/>
        <w:ind w:left="567" w:hanging="567"/>
        <w:jc w:val="both"/>
      </w:pPr>
      <w:r w:rsidRPr="005F0984">
        <w:rPr>
          <w:lang w:val="en-US"/>
        </w:rPr>
        <w:t xml:space="preserve">Webern, Anton. </w:t>
      </w:r>
      <w:r w:rsidRPr="005F0984">
        <w:rPr>
          <w:i/>
          <w:iCs/>
        </w:rPr>
        <w:t>O caminho para a música nova</w:t>
      </w:r>
      <w:r w:rsidRPr="005F0984">
        <w:t>. Trad. Carlos Kater. São Paulo: Novas Metas, 1984.</w:t>
      </w:r>
    </w:p>
    <w:p w14:paraId="7B7F2E12" w14:textId="77777777" w:rsidR="005F0984" w:rsidRPr="005F0984" w:rsidRDefault="005F0984" w:rsidP="005F0984">
      <w:pPr>
        <w:jc w:val="both"/>
        <w:rPr>
          <w:rFonts w:ascii="Calibri" w:hAnsi="Calibri"/>
        </w:rPr>
      </w:pPr>
    </w:p>
    <w:p w14:paraId="59174FDD" w14:textId="77777777" w:rsidR="005F0984" w:rsidRPr="005F0984" w:rsidRDefault="005F0984" w:rsidP="005F0984">
      <w:pPr>
        <w:ind w:left="650" w:hanging="650"/>
        <w:jc w:val="both"/>
        <w:rPr>
          <w:rFonts w:ascii="Calibri" w:hAnsi="Calibri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0305C2" w:rsidRPr="00C87B0E" w14:paraId="415F1E09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6E5FBDB4" w14:textId="77777777" w:rsidR="000305C2" w:rsidRPr="00C87B0E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69FD9C39" w14:textId="77777777" w:rsidR="000305C2" w:rsidRPr="00C87B0E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305C2" w:rsidRPr="00C87B0E" w14:paraId="506D1169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79100540" w14:textId="77777777" w:rsidR="000305C2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76A65B1D" w14:textId="77777777" w:rsidR="000305C2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670252E8" w14:textId="77777777" w:rsidR="000305C2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5F33735C" w14:textId="77777777" w:rsidR="000305C2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53DD6B89" w14:textId="77777777" w:rsidR="000305C2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70733BCF" w14:textId="77777777" w:rsidR="000305C2" w:rsidRPr="00C87B0E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0FCA7AA0" w14:textId="77777777" w:rsidR="000305C2" w:rsidRPr="00C87B0E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65CEFA81" w14:textId="77777777" w:rsidR="000305C2" w:rsidRPr="00C87B0E" w:rsidRDefault="000305C2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341CE3A" w14:textId="77777777" w:rsidR="003A618B" w:rsidRDefault="003A618B">
      <w:pPr>
        <w:pStyle w:val="Body"/>
      </w:pPr>
      <w:bookmarkStart w:id="0" w:name="_GoBack"/>
      <w:bookmarkEnd w:id="0"/>
    </w:p>
    <w:sectPr w:rsidR="003A618B" w:rsidSect="00F93197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26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4CA3B" w14:textId="77777777" w:rsidR="009F0492" w:rsidRDefault="009F0492">
      <w:r>
        <w:separator/>
      </w:r>
    </w:p>
  </w:endnote>
  <w:endnote w:type="continuationSeparator" w:id="0">
    <w:p w14:paraId="5AAF9FB0" w14:textId="77777777" w:rsidR="009F0492" w:rsidRDefault="009F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51222" w14:textId="77777777" w:rsidR="003A618B" w:rsidRDefault="003A618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14D8" w14:textId="77777777" w:rsidR="009F0492" w:rsidRDefault="009F0492">
      <w:r>
        <w:separator/>
      </w:r>
    </w:p>
  </w:footnote>
  <w:footnote w:type="continuationSeparator" w:id="0">
    <w:p w14:paraId="118C1ECE" w14:textId="77777777" w:rsidR="009F0492" w:rsidRDefault="009F0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F105" w14:textId="77777777" w:rsidR="003A618B" w:rsidRDefault="003A618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47F"/>
    <w:multiLevelType w:val="hybridMultilevel"/>
    <w:tmpl w:val="CB9E2562"/>
    <w:lvl w:ilvl="0" w:tplc="E0CE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90668"/>
    <w:multiLevelType w:val="hybridMultilevel"/>
    <w:tmpl w:val="29F87652"/>
    <w:numStyleLink w:val="ImportedStyle1"/>
  </w:abstractNum>
  <w:abstractNum w:abstractNumId="2">
    <w:nsid w:val="67AE3DAB"/>
    <w:multiLevelType w:val="hybridMultilevel"/>
    <w:tmpl w:val="29F87652"/>
    <w:styleLink w:val="ImportedStyle1"/>
    <w:lvl w:ilvl="0" w:tplc="8B8E38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CDE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4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EE1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CFE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ADA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CF78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EE4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C34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8B"/>
    <w:rsid w:val="000305C2"/>
    <w:rsid w:val="003A618B"/>
    <w:rsid w:val="005F0984"/>
    <w:rsid w:val="006169A6"/>
    <w:rsid w:val="009856A8"/>
    <w:rsid w:val="009B08A2"/>
    <w:rsid w:val="009F0492"/>
    <w:rsid w:val="00C82710"/>
    <w:rsid w:val="00D168CD"/>
    <w:rsid w:val="00E35AB7"/>
    <w:rsid w:val="00EC660D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2477"/>
  <w15:docId w15:val="{2DE68321-987F-41D9-B7C5-8343C0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360" w:after="120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pt-PT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basedOn w:val="Normal"/>
    <w:link w:val="BodyTextChar"/>
    <w:rsid w:val="005F0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F0984"/>
    <w:rPr>
      <w:rFonts w:eastAsia="Times New Roman"/>
      <w:sz w:val="24"/>
      <w:szCs w:val="24"/>
      <w:bdr w:val="none" w:sz="0" w:space="0" w:color="auto"/>
    </w:rPr>
  </w:style>
  <w:style w:type="paragraph" w:styleId="FootnoteText">
    <w:name w:val="footnote text"/>
    <w:basedOn w:val="Normal"/>
    <w:link w:val="FootnoteTextChar"/>
    <w:semiHidden/>
    <w:rsid w:val="005F0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5F0984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Pedro Kroger</cp:lastModifiedBy>
  <cp:revision>8</cp:revision>
  <cp:lastPrinted>2017-03-02T14:15:00Z</cp:lastPrinted>
  <dcterms:created xsi:type="dcterms:W3CDTF">2016-07-24T15:42:00Z</dcterms:created>
  <dcterms:modified xsi:type="dcterms:W3CDTF">2017-03-02T14:15:00Z</dcterms:modified>
</cp:coreProperties>
</file>